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A1" w:rsidRPr="00785F0F" w:rsidRDefault="00340EA1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433"/>
          <w:sz w:val="40"/>
          <w:szCs w:val="40"/>
        </w:rPr>
      </w:pPr>
      <w:r w:rsidRPr="00785F0F">
        <w:rPr>
          <w:rFonts w:ascii="Arial" w:hAnsi="Arial" w:cs="Arial"/>
          <w:b/>
          <w:color w:val="333433"/>
          <w:sz w:val="40"/>
          <w:szCs w:val="40"/>
        </w:rPr>
        <w:t>NEAR EAST UNIVERSITY</w:t>
      </w:r>
    </w:p>
    <w:p w:rsidR="00226325" w:rsidRPr="00785F0F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433"/>
          <w:sz w:val="40"/>
          <w:szCs w:val="40"/>
        </w:rPr>
      </w:pPr>
      <w:r w:rsidRPr="00785F0F">
        <w:rPr>
          <w:rFonts w:ascii="Arial" w:hAnsi="Arial" w:cs="Arial"/>
          <w:b/>
          <w:color w:val="333433"/>
          <w:sz w:val="40"/>
          <w:szCs w:val="40"/>
        </w:rPr>
        <w:t xml:space="preserve">Faculty of Law (LLB </w:t>
      </w:r>
      <w:r w:rsidR="007224B3">
        <w:rPr>
          <w:rFonts w:ascii="Arial" w:hAnsi="Arial" w:cs="Arial"/>
          <w:b/>
          <w:color w:val="333433"/>
          <w:sz w:val="40"/>
          <w:szCs w:val="40"/>
        </w:rPr>
        <w:t xml:space="preserve">Tort </w:t>
      </w:r>
      <w:r w:rsidRPr="00785F0F">
        <w:rPr>
          <w:rFonts w:ascii="Arial" w:hAnsi="Arial" w:cs="Arial"/>
          <w:b/>
          <w:color w:val="333433"/>
          <w:sz w:val="40"/>
          <w:szCs w:val="40"/>
        </w:rPr>
        <w:t>Law)</w:t>
      </w:r>
    </w:p>
    <w:p w:rsid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color w:val="333433"/>
          <w:sz w:val="34"/>
          <w:szCs w:val="34"/>
        </w:rPr>
      </w:pPr>
      <w:bookmarkStart w:id="0" w:name="_GoBack"/>
      <w:bookmarkEnd w:id="0"/>
    </w:p>
    <w:p w:rsidR="00226325" w:rsidRDefault="007224B3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9908"/>
          <w:sz w:val="42"/>
          <w:szCs w:val="42"/>
        </w:rPr>
      </w:pPr>
      <w:r>
        <w:rPr>
          <w:rFonts w:ascii="Arial" w:hAnsi="Arial" w:cs="Arial"/>
          <w:b/>
          <w:bCs/>
          <w:color w:val="ED9908"/>
          <w:sz w:val="42"/>
          <w:szCs w:val="42"/>
        </w:rPr>
        <w:t>Tort</w:t>
      </w:r>
      <w:r w:rsidR="00226325">
        <w:rPr>
          <w:rFonts w:ascii="Arial" w:hAnsi="Arial" w:cs="Arial"/>
          <w:b/>
          <w:bCs/>
          <w:color w:val="ED9908"/>
          <w:sz w:val="42"/>
          <w:szCs w:val="42"/>
        </w:rPr>
        <w:t xml:space="preserve"> Law I-II</w:t>
      </w:r>
    </w:p>
    <w:p w:rsid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433"/>
          <w:sz w:val="28"/>
          <w:szCs w:val="28"/>
        </w:rPr>
      </w:pPr>
    </w:p>
    <w:p w:rsid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433"/>
          <w:sz w:val="28"/>
          <w:szCs w:val="28"/>
        </w:rPr>
      </w:pPr>
      <w:r>
        <w:rPr>
          <w:rFonts w:ascii="Arial" w:hAnsi="Arial" w:cs="Arial"/>
          <w:b/>
          <w:bCs/>
          <w:color w:val="333433"/>
          <w:sz w:val="28"/>
          <w:szCs w:val="28"/>
        </w:rPr>
        <w:t>Course Code:</w:t>
      </w:r>
    </w:p>
    <w:p w:rsidR="00EA4831" w:rsidRPr="00340EA1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333433"/>
          <w:sz w:val="28"/>
          <w:szCs w:val="28"/>
        </w:rPr>
      </w:pPr>
      <w:r w:rsidRPr="00340EA1">
        <w:rPr>
          <w:rFonts w:ascii="Arial" w:hAnsi="Arial" w:cs="Arial"/>
          <w:bCs/>
          <w:color w:val="333433"/>
          <w:sz w:val="28"/>
          <w:szCs w:val="28"/>
        </w:rPr>
        <w:t>ELA</w:t>
      </w:r>
      <w:r w:rsidR="00EA4831" w:rsidRPr="00340EA1">
        <w:rPr>
          <w:rFonts w:ascii="Arial" w:hAnsi="Arial" w:cs="Arial"/>
          <w:bCs/>
          <w:color w:val="333433"/>
          <w:sz w:val="28"/>
          <w:szCs w:val="28"/>
        </w:rPr>
        <w:t xml:space="preserve">W </w:t>
      </w:r>
      <w:r w:rsidR="001E4C51">
        <w:rPr>
          <w:rFonts w:ascii="Arial" w:hAnsi="Arial" w:cs="Arial"/>
          <w:bCs/>
          <w:color w:val="333433"/>
          <w:sz w:val="28"/>
          <w:szCs w:val="28"/>
        </w:rPr>
        <w:t>203</w:t>
      </w:r>
    </w:p>
    <w:p w:rsidR="00226325" w:rsidRPr="00340EA1" w:rsidRDefault="00351B42" w:rsidP="0022632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333433"/>
          <w:sz w:val="28"/>
          <w:szCs w:val="28"/>
        </w:rPr>
      </w:pPr>
      <w:r>
        <w:rPr>
          <w:rFonts w:ascii="Arial" w:hAnsi="Arial" w:cs="Arial"/>
          <w:bCs/>
          <w:color w:val="333433"/>
          <w:sz w:val="28"/>
          <w:szCs w:val="28"/>
        </w:rPr>
        <w:t>ELAW 204</w:t>
      </w:r>
    </w:p>
    <w:p w:rsid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433"/>
          <w:sz w:val="28"/>
          <w:szCs w:val="28"/>
        </w:rPr>
      </w:pPr>
      <w:r>
        <w:rPr>
          <w:rFonts w:ascii="Arial" w:hAnsi="Arial" w:cs="Arial"/>
          <w:b/>
          <w:bCs/>
          <w:color w:val="333433"/>
          <w:sz w:val="28"/>
          <w:szCs w:val="28"/>
        </w:rPr>
        <w:t>Year of study:</w:t>
      </w:r>
    </w:p>
    <w:p w:rsidR="00226325" w:rsidRDefault="00340EA1" w:rsidP="00226325">
      <w:pPr>
        <w:widowControl w:val="0"/>
        <w:autoSpaceDE w:val="0"/>
        <w:autoSpaceDN w:val="0"/>
        <w:adjustRightInd w:val="0"/>
        <w:rPr>
          <w:rFonts w:ascii="Arial" w:hAnsi="Arial" w:cs="Arial"/>
          <w:color w:val="333433"/>
          <w:sz w:val="28"/>
          <w:szCs w:val="28"/>
        </w:rPr>
      </w:pPr>
      <w:r>
        <w:rPr>
          <w:rFonts w:ascii="Arial" w:hAnsi="Arial" w:cs="Arial"/>
          <w:color w:val="333433"/>
          <w:sz w:val="28"/>
          <w:szCs w:val="28"/>
        </w:rPr>
        <w:t xml:space="preserve">Year 2 </w:t>
      </w:r>
    </w:p>
    <w:p w:rsid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433"/>
          <w:sz w:val="28"/>
          <w:szCs w:val="28"/>
        </w:rPr>
      </w:pPr>
      <w:r>
        <w:rPr>
          <w:rFonts w:ascii="Arial" w:hAnsi="Arial" w:cs="Arial"/>
          <w:b/>
          <w:bCs/>
          <w:color w:val="333433"/>
          <w:sz w:val="28"/>
          <w:szCs w:val="28"/>
        </w:rPr>
        <w:t>Taught in:</w:t>
      </w:r>
    </w:p>
    <w:p w:rsid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color w:val="333433"/>
          <w:sz w:val="28"/>
          <w:szCs w:val="28"/>
        </w:rPr>
      </w:pPr>
      <w:r>
        <w:rPr>
          <w:rFonts w:ascii="Arial" w:hAnsi="Arial" w:cs="Arial"/>
          <w:color w:val="333433"/>
          <w:sz w:val="28"/>
          <w:szCs w:val="28"/>
        </w:rPr>
        <w:t>Full Year</w:t>
      </w:r>
    </w:p>
    <w:p w:rsid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color w:val="333433"/>
          <w:sz w:val="28"/>
          <w:szCs w:val="28"/>
        </w:rPr>
      </w:pPr>
    </w:p>
    <w:p w:rsidR="00785F0F" w:rsidRDefault="00785F0F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9908"/>
          <w:sz w:val="40"/>
          <w:szCs w:val="40"/>
        </w:rPr>
      </w:pPr>
      <w:r>
        <w:rPr>
          <w:rFonts w:ascii="Arial" w:hAnsi="Arial" w:cs="Arial"/>
          <w:b/>
          <w:bCs/>
          <w:color w:val="ED9908"/>
          <w:sz w:val="40"/>
          <w:szCs w:val="40"/>
        </w:rPr>
        <w:t>Abstract</w:t>
      </w:r>
    </w:p>
    <w:p w:rsidR="00226325" w:rsidRPr="0091350B" w:rsidRDefault="006B5098" w:rsidP="002263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1350B">
        <w:rPr>
          <w:rFonts w:ascii="Arial" w:hAnsi="Arial" w:cs="Arial"/>
        </w:rPr>
        <w:t>Tort</w:t>
      </w:r>
      <w:r w:rsidR="00226325" w:rsidRPr="0091350B">
        <w:rPr>
          <w:rFonts w:ascii="Arial" w:hAnsi="Arial" w:cs="Arial"/>
        </w:rPr>
        <w:t xml:space="preserve"> law</w:t>
      </w:r>
      <w:r w:rsidR="00A748E9" w:rsidRPr="0091350B">
        <w:rPr>
          <w:rFonts w:ascii="Arial" w:hAnsi="Arial" w:cs="Arial"/>
        </w:rPr>
        <w:t xml:space="preserve"> </w:t>
      </w:r>
      <w:r w:rsidR="007C7AA9" w:rsidRPr="0091350B">
        <w:rPr>
          <w:rFonts w:ascii="Arial" w:hAnsi="Arial" w:cs="Arial"/>
        </w:rPr>
        <w:t>cover</w:t>
      </w:r>
      <w:r w:rsidR="00B92F38" w:rsidRPr="0091350B">
        <w:rPr>
          <w:rFonts w:ascii="Arial" w:hAnsi="Arial" w:cs="Arial"/>
        </w:rPr>
        <w:t>s</w:t>
      </w:r>
      <w:r w:rsidR="007C7AA9" w:rsidRPr="0091350B">
        <w:rPr>
          <w:rFonts w:ascii="Arial" w:hAnsi="Arial" w:cs="Arial"/>
        </w:rPr>
        <w:t xml:space="preserve"> </w:t>
      </w:r>
      <w:r w:rsidR="00226325" w:rsidRPr="0091350B">
        <w:rPr>
          <w:rFonts w:ascii="Arial" w:hAnsi="Arial" w:cs="Arial"/>
        </w:rPr>
        <w:t xml:space="preserve">topics </w:t>
      </w:r>
      <w:r w:rsidR="007C7AA9" w:rsidRPr="0091350B">
        <w:rPr>
          <w:rFonts w:ascii="Arial" w:hAnsi="Arial" w:cs="Arial"/>
        </w:rPr>
        <w:t>which include</w:t>
      </w:r>
      <w:r w:rsidR="00226325" w:rsidRPr="0091350B">
        <w:rPr>
          <w:rFonts w:ascii="Arial" w:hAnsi="Arial" w:cs="Arial"/>
        </w:rPr>
        <w:t xml:space="preserve"> </w:t>
      </w:r>
      <w:r w:rsidR="00E96821">
        <w:rPr>
          <w:rFonts w:ascii="Arial" w:hAnsi="Arial" w:cs="Arial"/>
        </w:rPr>
        <w:t>Employer’s Liability</w:t>
      </w:r>
      <w:r w:rsidR="00A748E9" w:rsidRPr="0091350B">
        <w:rPr>
          <w:rFonts w:ascii="Arial" w:hAnsi="Arial" w:cs="Arial"/>
        </w:rPr>
        <w:t xml:space="preserve">; Negligence; </w:t>
      </w:r>
      <w:r w:rsidR="007C7AA9" w:rsidRPr="0091350B">
        <w:rPr>
          <w:rFonts w:ascii="Arial" w:hAnsi="Arial" w:cs="Arial"/>
        </w:rPr>
        <w:t>Occupiers</w:t>
      </w:r>
      <w:r w:rsidR="003B65A4">
        <w:rPr>
          <w:rFonts w:ascii="Arial" w:hAnsi="Arial" w:cs="Arial"/>
        </w:rPr>
        <w:t>’</w:t>
      </w:r>
      <w:r w:rsidR="007C7AA9" w:rsidRPr="0091350B">
        <w:rPr>
          <w:rFonts w:ascii="Arial" w:hAnsi="Arial" w:cs="Arial"/>
        </w:rPr>
        <w:t xml:space="preserve"> Liability; Nuisance; </w:t>
      </w:r>
      <w:r w:rsidR="00A748E9" w:rsidRPr="0091350B">
        <w:rPr>
          <w:rFonts w:ascii="Arial" w:hAnsi="Arial" w:cs="Arial"/>
        </w:rPr>
        <w:t>Trespass</w:t>
      </w:r>
      <w:r w:rsidR="007C7AA9" w:rsidRPr="0091350B">
        <w:rPr>
          <w:rFonts w:ascii="Arial" w:hAnsi="Arial" w:cs="Arial"/>
        </w:rPr>
        <w:t xml:space="preserve"> to Land</w:t>
      </w:r>
      <w:r w:rsidR="00A748E9" w:rsidRPr="0091350B">
        <w:rPr>
          <w:rFonts w:ascii="Arial" w:hAnsi="Arial" w:cs="Arial"/>
        </w:rPr>
        <w:t>;</w:t>
      </w:r>
      <w:r w:rsidR="007C7AA9" w:rsidRPr="0091350B">
        <w:rPr>
          <w:rFonts w:ascii="Arial" w:hAnsi="Arial" w:cs="Arial"/>
        </w:rPr>
        <w:t xml:space="preserve"> Trespass to the Person;</w:t>
      </w:r>
      <w:r w:rsidR="00A748E9" w:rsidRPr="0091350B">
        <w:rPr>
          <w:rFonts w:ascii="Arial" w:hAnsi="Arial" w:cs="Arial"/>
        </w:rPr>
        <w:t xml:space="preserve"> Defective Products; Defamation and Privacy. </w:t>
      </w:r>
      <w:r w:rsidR="007C7AA9" w:rsidRPr="0091350B">
        <w:rPr>
          <w:rFonts w:ascii="Arial" w:hAnsi="Arial" w:cs="Arial"/>
        </w:rPr>
        <w:t xml:space="preserve">At the end of each lecture, students are provided with a ‘problem question’ which consists of a scenario with issues that revolve around the topic covered in class. This provides students with an opportunity to apply their problem solving skills and knowledge </w:t>
      </w:r>
      <w:r w:rsidR="00B92F38" w:rsidRPr="0091350B">
        <w:rPr>
          <w:rFonts w:ascii="Arial" w:hAnsi="Arial" w:cs="Arial"/>
        </w:rPr>
        <w:t>to everyday life situations which they may have to face in their future legal careers.</w:t>
      </w:r>
    </w:p>
    <w:p w:rsidR="007C7AA9" w:rsidRPr="0091350B" w:rsidRDefault="007C7AA9" w:rsidP="002263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A4831" w:rsidRPr="00785F0F" w:rsidRDefault="00226325" w:rsidP="00EA48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9908"/>
          <w:sz w:val="40"/>
          <w:szCs w:val="40"/>
        </w:rPr>
      </w:pPr>
      <w:r>
        <w:rPr>
          <w:rFonts w:ascii="Arial" w:hAnsi="Arial" w:cs="Arial"/>
          <w:b/>
          <w:bCs/>
          <w:color w:val="ED9908"/>
          <w:sz w:val="40"/>
          <w:szCs w:val="40"/>
        </w:rPr>
        <w:t>Objectives and learning outcomes of the course</w:t>
      </w:r>
    </w:p>
    <w:p w:rsidR="00226325" w:rsidRPr="009F2D0C" w:rsidRDefault="006010F2" w:rsidP="00EA4831">
      <w:pPr>
        <w:widowControl w:val="0"/>
        <w:autoSpaceDE w:val="0"/>
        <w:autoSpaceDN w:val="0"/>
        <w:adjustRightInd w:val="0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A ‘tort’ is a wrongful act that causes injury or damage. </w:t>
      </w:r>
      <w:r w:rsidR="00812AD0" w:rsidRPr="006010F2">
        <w:rPr>
          <w:rFonts w:ascii="Arial" w:hAnsi="Arial" w:cs="Arial"/>
        </w:rPr>
        <w:t xml:space="preserve">Examples of torts include death, assault, </w:t>
      </w:r>
      <w:proofErr w:type="gramStart"/>
      <w:r w:rsidR="00812AD0" w:rsidRPr="006010F2">
        <w:rPr>
          <w:rFonts w:ascii="Arial" w:hAnsi="Arial" w:cs="Arial"/>
        </w:rPr>
        <w:t>injury</w:t>
      </w:r>
      <w:proofErr w:type="gramEnd"/>
      <w:r w:rsidR="00812AD0" w:rsidRPr="006010F2">
        <w:rPr>
          <w:rFonts w:ascii="Arial" w:hAnsi="Arial" w:cs="Arial"/>
        </w:rPr>
        <w:t xml:space="preserve"> from a defective product, injury from bad driving and damage or destruction of property.</w:t>
      </w:r>
    </w:p>
    <w:p w:rsidR="00226325" w:rsidRP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26325" w:rsidRP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6325">
        <w:rPr>
          <w:rFonts w:ascii="Arial" w:hAnsi="Arial" w:cs="Arial"/>
        </w:rPr>
        <w:t>This course aims to enable students:</w:t>
      </w:r>
    </w:p>
    <w:p w:rsidR="00226325" w:rsidRP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1. </w:t>
      </w:r>
      <w:proofErr w:type="gramStart"/>
      <w:r w:rsidRPr="00226325">
        <w:rPr>
          <w:rFonts w:ascii="Arial" w:hAnsi="Arial" w:cs="Arial"/>
        </w:rPr>
        <w:t>to</w:t>
      </w:r>
      <w:proofErr w:type="gramEnd"/>
      <w:r w:rsidRPr="00226325">
        <w:rPr>
          <w:rFonts w:ascii="Arial" w:hAnsi="Arial" w:cs="Arial"/>
        </w:rPr>
        <w:t xml:space="preserve"> understand the nature of </w:t>
      </w:r>
      <w:r w:rsidR="009F2D0C">
        <w:rPr>
          <w:rFonts w:ascii="Arial" w:hAnsi="Arial" w:cs="Arial"/>
        </w:rPr>
        <w:t>tort law</w:t>
      </w:r>
      <w:r w:rsidRPr="00226325">
        <w:rPr>
          <w:rFonts w:ascii="Arial" w:hAnsi="Arial" w:cs="Arial"/>
        </w:rPr>
        <w:t>;</w:t>
      </w:r>
    </w:p>
    <w:p w:rsidR="00226325" w:rsidRP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2. </w:t>
      </w:r>
      <w:proofErr w:type="gramStart"/>
      <w:r w:rsidRPr="00226325">
        <w:rPr>
          <w:rFonts w:ascii="Arial" w:hAnsi="Arial" w:cs="Arial"/>
        </w:rPr>
        <w:t>to</w:t>
      </w:r>
      <w:proofErr w:type="gramEnd"/>
      <w:r w:rsidRPr="00226325">
        <w:rPr>
          <w:rFonts w:ascii="Arial" w:hAnsi="Arial" w:cs="Arial"/>
        </w:rPr>
        <w:t xml:space="preserve"> understand the basic elements of </w:t>
      </w:r>
      <w:r w:rsidR="009F2D0C">
        <w:rPr>
          <w:rFonts w:ascii="Arial" w:hAnsi="Arial" w:cs="Arial"/>
        </w:rPr>
        <w:t>torts</w:t>
      </w:r>
      <w:r w:rsidRPr="00226325">
        <w:rPr>
          <w:rFonts w:ascii="Arial" w:hAnsi="Arial" w:cs="Arial"/>
        </w:rPr>
        <w:t>;</w:t>
      </w:r>
    </w:p>
    <w:p w:rsidR="00226325" w:rsidRPr="00226325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3. </w:t>
      </w:r>
      <w:proofErr w:type="gramStart"/>
      <w:r w:rsidRPr="00226325">
        <w:rPr>
          <w:rFonts w:ascii="Arial" w:hAnsi="Arial" w:cs="Arial"/>
        </w:rPr>
        <w:t>to</w:t>
      </w:r>
      <w:proofErr w:type="gramEnd"/>
      <w:r w:rsidRPr="00226325">
        <w:rPr>
          <w:rFonts w:ascii="Arial" w:hAnsi="Arial" w:cs="Arial"/>
        </w:rPr>
        <w:t xml:space="preserve"> develop an understa</w:t>
      </w:r>
      <w:r w:rsidR="009F2D0C">
        <w:rPr>
          <w:rFonts w:ascii="Arial" w:hAnsi="Arial" w:cs="Arial"/>
        </w:rPr>
        <w:t>nding of several key areas of tort</w:t>
      </w:r>
      <w:r w:rsidRPr="00226325">
        <w:rPr>
          <w:rFonts w:ascii="Arial" w:hAnsi="Arial" w:cs="Arial"/>
        </w:rPr>
        <w:t xml:space="preserve"> law including the law </w:t>
      </w:r>
      <w:r w:rsidR="009F2D0C">
        <w:rPr>
          <w:rFonts w:ascii="Arial" w:hAnsi="Arial" w:cs="Arial"/>
        </w:rPr>
        <w:t>of negligence</w:t>
      </w:r>
      <w:r w:rsidRPr="00226325">
        <w:rPr>
          <w:rFonts w:ascii="Arial" w:hAnsi="Arial" w:cs="Arial"/>
        </w:rPr>
        <w:t>;</w:t>
      </w:r>
    </w:p>
    <w:p w:rsidR="00226325" w:rsidRPr="00226325" w:rsidRDefault="009F2D0C" w:rsidP="002263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26325" w:rsidRPr="00226325">
        <w:rPr>
          <w:rFonts w:ascii="Arial" w:hAnsi="Arial" w:cs="Arial"/>
        </w:rPr>
        <w:t xml:space="preserve">. </w:t>
      </w:r>
      <w:proofErr w:type="gramStart"/>
      <w:r w:rsidR="00226325" w:rsidRPr="00226325">
        <w:rPr>
          <w:rFonts w:ascii="Arial" w:hAnsi="Arial" w:cs="Arial"/>
        </w:rPr>
        <w:t>to</w:t>
      </w:r>
      <w:proofErr w:type="gramEnd"/>
      <w:r w:rsidR="00226325" w:rsidRPr="00226325">
        <w:rPr>
          <w:rFonts w:ascii="Arial" w:hAnsi="Arial" w:cs="Arial"/>
        </w:rPr>
        <w:t xml:space="preserve"> critically examine the operation and application of </w:t>
      </w:r>
      <w:r>
        <w:rPr>
          <w:rFonts w:ascii="Arial" w:hAnsi="Arial" w:cs="Arial"/>
        </w:rPr>
        <w:t>tort</w:t>
      </w:r>
      <w:r w:rsidR="00226325" w:rsidRPr="00226325">
        <w:rPr>
          <w:rFonts w:ascii="Arial" w:hAnsi="Arial" w:cs="Arial"/>
        </w:rPr>
        <w:t xml:space="preserve"> law in practical contexts;</w:t>
      </w:r>
    </w:p>
    <w:p w:rsidR="00226325" w:rsidRPr="00226325" w:rsidRDefault="009F2D0C" w:rsidP="002263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26325" w:rsidRPr="00226325">
        <w:rPr>
          <w:rFonts w:ascii="Arial" w:hAnsi="Arial" w:cs="Arial"/>
        </w:rPr>
        <w:t xml:space="preserve">. </w:t>
      </w:r>
      <w:proofErr w:type="gramStart"/>
      <w:r w:rsidR="00226325" w:rsidRPr="00226325">
        <w:rPr>
          <w:rFonts w:ascii="Arial" w:hAnsi="Arial" w:cs="Arial"/>
        </w:rPr>
        <w:t>to</w:t>
      </w:r>
      <w:proofErr w:type="gramEnd"/>
      <w:r w:rsidR="00226325" w:rsidRPr="00226325">
        <w:rPr>
          <w:rFonts w:ascii="Arial" w:hAnsi="Arial" w:cs="Arial"/>
        </w:rPr>
        <w:t xml:space="preserve"> develop effective skills, both orally and in writing, in the construction</w:t>
      </w:r>
      <w:r>
        <w:rPr>
          <w:rFonts w:ascii="Arial" w:hAnsi="Arial" w:cs="Arial"/>
        </w:rPr>
        <w:t xml:space="preserve"> of legal argument and analysis of</w:t>
      </w:r>
      <w:r w:rsidR="00226325" w:rsidRPr="00226325">
        <w:rPr>
          <w:rFonts w:ascii="Arial" w:hAnsi="Arial" w:cs="Arial"/>
        </w:rPr>
        <w:t xml:space="preserve"> issues;</w:t>
      </w:r>
    </w:p>
    <w:p w:rsidR="009F2D0C" w:rsidRDefault="009F2D0C" w:rsidP="002263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26325" w:rsidRPr="00226325">
        <w:rPr>
          <w:rFonts w:ascii="Arial" w:hAnsi="Arial" w:cs="Arial"/>
        </w:rPr>
        <w:t xml:space="preserve">. </w:t>
      </w:r>
      <w:proofErr w:type="gramStart"/>
      <w:r w:rsidR="00226325" w:rsidRPr="00226325">
        <w:rPr>
          <w:rFonts w:ascii="Arial" w:hAnsi="Arial" w:cs="Arial"/>
        </w:rPr>
        <w:t>to</w:t>
      </w:r>
      <w:proofErr w:type="gramEnd"/>
      <w:r w:rsidR="00226325" w:rsidRPr="00226325">
        <w:rPr>
          <w:rFonts w:ascii="Arial" w:hAnsi="Arial" w:cs="Arial"/>
        </w:rPr>
        <w:t xml:space="preserve"> undertake self-directed legal research at a high level, including the use of online technologies</w:t>
      </w:r>
      <w:r>
        <w:rPr>
          <w:rFonts w:ascii="Arial" w:hAnsi="Arial" w:cs="Arial"/>
        </w:rPr>
        <w:t>.</w:t>
      </w:r>
    </w:p>
    <w:p w:rsidR="003B65A4" w:rsidRPr="00226325" w:rsidRDefault="003B65A4" w:rsidP="002263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A662C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9908"/>
          <w:sz w:val="40"/>
          <w:szCs w:val="40"/>
        </w:rPr>
      </w:pPr>
      <w:r>
        <w:rPr>
          <w:rFonts w:ascii="Arial" w:hAnsi="Arial" w:cs="Arial"/>
          <w:b/>
          <w:bCs/>
          <w:color w:val="ED9908"/>
          <w:sz w:val="40"/>
          <w:szCs w:val="40"/>
        </w:rPr>
        <w:lastRenderedPageBreak/>
        <w:t>Scope and syllabus</w:t>
      </w:r>
    </w:p>
    <w:p w:rsidR="00226325" w:rsidRPr="00785F0F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color w:val="333433"/>
        </w:rPr>
      </w:pPr>
      <w:r w:rsidRPr="00785F0F">
        <w:rPr>
          <w:rFonts w:ascii="Arial" w:hAnsi="Arial" w:cs="Arial"/>
          <w:color w:val="333433"/>
        </w:rPr>
        <w:t>Topics are likely to include:</w:t>
      </w:r>
    </w:p>
    <w:p w:rsidR="00785F0F" w:rsidRDefault="00785F0F" w:rsidP="00226325">
      <w:pPr>
        <w:widowControl w:val="0"/>
        <w:autoSpaceDE w:val="0"/>
        <w:autoSpaceDN w:val="0"/>
        <w:adjustRightInd w:val="0"/>
        <w:rPr>
          <w:rFonts w:ascii="Arial" w:hAnsi="Arial" w:cs="Arial"/>
          <w:color w:val="333433"/>
          <w:sz w:val="28"/>
          <w:szCs w:val="28"/>
        </w:rPr>
      </w:pPr>
    </w:p>
    <w:p w:rsidR="00785F0F" w:rsidRPr="003B65A4" w:rsidRDefault="00785F0F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 xml:space="preserve">Introduction 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Definition of Tort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Object of Legal Proceedings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Terms such as actionable per se; Strict Liability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State of Mind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 xml:space="preserve">Elements of a Tort 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 xml:space="preserve">The </w:t>
      </w:r>
      <w:r w:rsidR="00812AD0">
        <w:rPr>
          <w:rFonts w:ascii="Arial" w:hAnsi="Arial" w:cs="Arial"/>
          <w:b/>
          <w:bCs/>
        </w:rPr>
        <w:t>Requirement of F</w:t>
      </w:r>
      <w:r>
        <w:rPr>
          <w:rFonts w:ascii="Arial" w:hAnsi="Arial" w:cs="Arial"/>
          <w:b/>
          <w:bCs/>
        </w:rPr>
        <w:t>ault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Employer’s Liability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Vicarious Liability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Negligence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Occupiers’ Liability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Nuisance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 xml:space="preserve">The Rule in </w:t>
      </w:r>
      <w:proofErr w:type="spellStart"/>
      <w:r>
        <w:rPr>
          <w:rFonts w:ascii="Arial" w:hAnsi="Arial" w:cs="Arial"/>
          <w:b/>
          <w:bCs/>
        </w:rPr>
        <w:t>Rylands</w:t>
      </w:r>
      <w:proofErr w:type="spellEnd"/>
      <w:r>
        <w:rPr>
          <w:rFonts w:ascii="Arial" w:hAnsi="Arial" w:cs="Arial"/>
          <w:b/>
          <w:bCs/>
        </w:rPr>
        <w:t xml:space="preserve"> v Fletcher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Trespass to Land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Trespass to the Person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Liability for Defective Products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Defamation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Privacy</w:t>
      </w:r>
    </w:p>
    <w:p w:rsidR="003B65A4" w:rsidRPr="003B65A4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Defences</w:t>
      </w:r>
    </w:p>
    <w:p w:rsidR="003B65A4" w:rsidRPr="00785F0F" w:rsidRDefault="003B65A4" w:rsidP="00785F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Remedies</w:t>
      </w:r>
    </w:p>
    <w:p w:rsidR="00226325" w:rsidRDefault="00226325" w:rsidP="000A66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333433"/>
          <w:sz w:val="28"/>
          <w:szCs w:val="28"/>
        </w:rPr>
      </w:pPr>
    </w:p>
    <w:p w:rsidR="00F306BB" w:rsidRDefault="00F306BB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9908"/>
          <w:sz w:val="40"/>
          <w:szCs w:val="40"/>
        </w:rPr>
      </w:pPr>
    </w:p>
    <w:p w:rsidR="00F306BB" w:rsidRDefault="00F306BB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9908"/>
          <w:sz w:val="40"/>
          <w:szCs w:val="40"/>
        </w:rPr>
      </w:pPr>
    </w:p>
    <w:p w:rsidR="00226325" w:rsidRPr="00785F0F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9908"/>
          <w:sz w:val="40"/>
          <w:szCs w:val="40"/>
        </w:rPr>
      </w:pPr>
      <w:r>
        <w:rPr>
          <w:rFonts w:ascii="Arial" w:hAnsi="Arial" w:cs="Arial"/>
          <w:b/>
          <w:bCs/>
          <w:color w:val="ED9908"/>
          <w:sz w:val="40"/>
          <w:szCs w:val="40"/>
        </w:rPr>
        <w:lastRenderedPageBreak/>
        <w:t>Method of assessment</w:t>
      </w:r>
    </w:p>
    <w:p w:rsidR="00B92F38" w:rsidRDefault="00B92F38" w:rsidP="00226325">
      <w:pPr>
        <w:widowControl w:val="0"/>
        <w:autoSpaceDE w:val="0"/>
        <w:autoSpaceDN w:val="0"/>
        <w:adjustRightInd w:val="0"/>
        <w:rPr>
          <w:rFonts w:ascii="Arial" w:hAnsi="Arial" w:cs="Arial"/>
          <w:color w:val="333433"/>
        </w:rPr>
      </w:pPr>
      <w:r>
        <w:rPr>
          <w:rFonts w:ascii="Arial" w:hAnsi="Arial" w:cs="Arial"/>
          <w:color w:val="333433"/>
        </w:rPr>
        <w:t xml:space="preserve">Students are assessed both in the mid-term and final term of each semester. </w:t>
      </w:r>
    </w:p>
    <w:p w:rsidR="00B92F38" w:rsidRDefault="00B92F38" w:rsidP="00E9682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333433"/>
        </w:rPr>
      </w:pPr>
      <w:r>
        <w:rPr>
          <w:rFonts w:ascii="Arial" w:hAnsi="Arial" w:cs="Arial"/>
          <w:color w:val="333433"/>
        </w:rPr>
        <w:t xml:space="preserve">Mid-term exam: 30% </w:t>
      </w:r>
    </w:p>
    <w:p w:rsidR="00B92F38" w:rsidRDefault="00B92F38" w:rsidP="00E9682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333433"/>
        </w:rPr>
      </w:pPr>
      <w:r>
        <w:rPr>
          <w:rFonts w:ascii="Arial" w:hAnsi="Arial" w:cs="Arial"/>
          <w:color w:val="333433"/>
        </w:rPr>
        <w:t xml:space="preserve">Final exam: 70% </w:t>
      </w:r>
    </w:p>
    <w:p w:rsidR="00B92F38" w:rsidRDefault="00B92F38" w:rsidP="00226325">
      <w:pPr>
        <w:widowControl w:val="0"/>
        <w:autoSpaceDE w:val="0"/>
        <w:autoSpaceDN w:val="0"/>
        <w:adjustRightInd w:val="0"/>
        <w:rPr>
          <w:rFonts w:ascii="Arial" w:hAnsi="Arial" w:cs="Arial"/>
          <w:color w:val="333433"/>
          <w:sz w:val="28"/>
          <w:szCs w:val="28"/>
        </w:rPr>
      </w:pPr>
    </w:p>
    <w:p w:rsidR="000A662C" w:rsidRDefault="00226325" w:rsidP="00226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9908"/>
          <w:sz w:val="40"/>
          <w:szCs w:val="40"/>
        </w:rPr>
      </w:pPr>
      <w:r>
        <w:rPr>
          <w:rFonts w:ascii="Arial" w:hAnsi="Arial" w:cs="Arial"/>
          <w:b/>
          <w:bCs/>
          <w:color w:val="ED9908"/>
          <w:sz w:val="40"/>
          <w:szCs w:val="40"/>
        </w:rPr>
        <w:t>Suggested reading</w:t>
      </w:r>
    </w:p>
    <w:p w:rsidR="000A662C" w:rsidRDefault="000A662C" w:rsidP="000A66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93838"/>
        </w:rPr>
      </w:pPr>
      <w:r w:rsidRPr="000A662C">
        <w:rPr>
          <w:rFonts w:ascii="Arial" w:hAnsi="Arial" w:cs="Arial"/>
          <w:color w:val="393838"/>
        </w:rPr>
        <w:t xml:space="preserve">The recommended </w:t>
      </w:r>
      <w:r w:rsidR="00866262">
        <w:rPr>
          <w:rFonts w:ascii="Arial" w:hAnsi="Arial" w:cs="Arial"/>
          <w:color w:val="393838"/>
        </w:rPr>
        <w:t xml:space="preserve">(though not required) </w:t>
      </w:r>
      <w:r w:rsidR="00E96821">
        <w:rPr>
          <w:rFonts w:ascii="Arial" w:hAnsi="Arial" w:cs="Arial"/>
          <w:color w:val="393838"/>
        </w:rPr>
        <w:t>texts for this course are:</w:t>
      </w:r>
    </w:p>
    <w:p w:rsidR="00E96821" w:rsidRPr="000A662C" w:rsidRDefault="00E96821" w:rsidP="000A66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93838"/>
        </w:rPr>
      </w:pPr>
    </w:p>
    <w:p w:rsidR="00B92F38" w:rsidRPr="00E96821" w:rsidRDefault="00AE6AC4" w:rsidP="00E9682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393838"/>
        </w:rPr>
      </w:pPr>
      <w:r w:rsidRPr="00E96821">
        <w:rPr>
          <w:rFonts w:ascii="Arial" w:hAnsi="Arial" w:cs="Arial"/>
          <w:color w:val="393838"/>
        </w:rPr>
        <w:t xml:space="preserve">Catherine Elliott and Frances Quinn, </w:t>
      </w:r>
      <w:r w:rsidRPr="00E96821">
        <w:rPr>
          <w:rFonts w:ascii="Arial" w:hAnsi="Arial" w:cs="Arial"/>
          <w:i/>
          <w:color w:val="393838"/>
        </w:rPr>
        <w:t>Tort Law</w:t>
      </w:r>
      <w:r w:rsidR="005A2354" w:rsidRPr="00E96821">
        <w:rPr>
          <w:rFonts w:ascii="Arial" w:hAnsi="Arial" w:cs="Arial"/>
          <w:color w:val="393838"/>
        </w:rPr>
        <w:t>, Pearson Education Limited, 9th Edition, 2013</w:t>
      </w:r>
    </w:p>
    <w:p w:rsidR="005A2354" w:rsidRPr="00E96821" w:rsidRDefault="005A2354" w:rsidP="00E9682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393838"/>
        </w:rPr>
      </w:pPr>
      <w:r w:rsidRPr="00E96821">
        <w:rPr>
          <w:rFonts w:ascii="Arial" w:hAnsi="Arial" w:cs="Arial"/>
          <w:color w:val="393838"/>
        </w:rPr>
        <w:t xml:space="preserve">Frances Quinn, </w:t>
      </w:r>
      <w:r w:rsidRPr="00E96821">
        <w:rPr>
          <w:rFonts w:ascii="Arial" w:hAnsi="Arial" w:cs="Arial"/>
          <w:i/>
          <w:color w:val="393838"/>
        </w:rPr>
        <w:t>Tort Law,</w:t>
      </w:r>
      <w:r w:rsidRPr="00E96821">
        <w:rPr>
          <w:rFonts w:ascii="Arial" w:hAnsi="Arial" w:cs="Arial"/>
          <w:color w:val="393838"/>
        </w:rPr>
        <w:t xml:space="preserve"> Living Law Series, 1st Edition, 2012</w:t>
      </w:r>
    </w:p>
    <w:p w:rsidR="005A2354" w:rsidRPr="00E96821" w:rsidRDefault="005A2354" w:rsidP="00E9682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393838"/>
        </w:rPr>
      </w:pPr>
      <w:r w:rsidRPr="00E96821">
        <w:rPr>
          <w:rFonts w:ascii="Arial" w:hAnsi="Arial" w:cs="Arial"/>
          <w:color w:val="393838"/>
        </w:rPr>
        <w:t xml:space="preserve">Emily Finch and Stefan </w:t>
      </w:r>
      <w:proofErr w:type="spellStart"/>
      <w:r w:rsidRPr="00E96821">
        <w:rPr>
          <w:rFonts w:ascii="Arial" w:hAnsi="Arial" w:cs="Arial"/>
          <w:color w:val="393838"/>
        </w:rPr>
        <w:t>Fafinski</w:t>
      </w:r>
      <w:proofErr w:type="spellEnd"/>
      <w:r w:rsidRPr="00E96821">
        <w:rPr>
          <w:rFonts w:ascii="Arial" w:hAnsi="Arial" w:cs="Arial"/>
          <w:color w:val="393838"/>
        </w:rPr>
        <w:t xml:space="preserve">, </w:t>
      </w:r>
      <w:r w:rsidRPr="00E96821">
        <w:rPr>
          <w:rFonts w:ascii="Arial" w:hAnsi="Arial" w:cs="Arial"/>
          <w:i/>
          <w:color w:val="393838"/>
        </w:rPr>
        <w:t>Tort Law</w:t>
      </w:r>
      <w:r w:rsidRPr="00E96821">
        <w:rPr>
          <w:rFonts w:ascii="Arial" w:hAnsi="Arial" w:cs="Arial"/>
          <w:color w:val="393838"/>
        </w:rPr>
        <w:t xml:space="preserve">, </w:t>
      </w:r>
      <w:r w:rsidR="00E96821" w:rsidRPr="00E96821">
        <w:rPr>
          <w:rFonts w:ascii="Arial" w:hAnsi="Arial" w:cs="Arial"/>
          <w:color w:val="393838"/>
        </w:rPr>
        <w:t xml:space="preserve">Law Express, </w:t>
      </w:r>
      <w:r w:rsidRPr="00E96821">
        <w:rPr>
          <w:rFonts w:ascii="Arial" w:hAnsi="Arial" w:cs="Arial"/>
          <w:color w:val="393838"/>
        </w:rPr>
        <w:t>5th Edition, 2015</w:t>
      </w:r>
    </w:p>
    <w:p w:rsidR="00C461D3" w:rsidRPr="000A662C" w:rsidRDefault="00C461D3" w:rsidP="000A662C"/>
    <w:sectPr w:rsidR="00C461D3" w:rsidRPr="000A662C" w:rsidSect="002263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24165"/>
    <w:multiLevelType w:val="hybridMultilevel"/>
    <w:tmpl w:val="B41C3C40"/>
    <w:lvl w:ilvl="0" w:tplc="ECAAB2D2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44BAC"/>
    <w:multiLevelType w:val="hybridMultilevel"/>
    <w:tmpl w:val="934AEC54"/>
    <w:lvl w:ilvl="0" w:tplc="163429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86C9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8019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08DC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2CA5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3A87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8861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DAA6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F2D4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characterSpacingControl w:val="doNotCompress"/>
  <w:compat>
    <w:useFELayout/>
  </w:compat>
  <w:rsids>
    <w:rsidRoot w:val="00226325"/>
    <w:rsid w:val="000A662C"/>
    <w:rsid w:val="00106385"/>
    <w:rsid w:val="001E4C51"/>
    <w:rsid w:val="00226325"/>
    <w:rsid w:val="00230472"/>
    <w:rsid w:val="00340EA1"/>
    <w:rsid w:val="00351B42"/>
    <w:rsid w:val="003B65A4"/>
    <w:rsid w:val="005A2354"/>
    <w:rsid w:val="006010F2"/>
    <w:rsid w:val="006B5098"/>
    <w:rsid w:val="007224B3"/>
    <w:rsid w:val="00760499"/>
    <w:rsid w:val="00785F0F"/>
    <w:rsid w:val="007C7AA9"/>
    <w:rsid w:val="00812AD0"/>
    <w:rsid w:val="00866262"/>
    <w:rsid w:val="0091350B"/>
    <w:rsid w:val="009D7B5E"/>
    <w:rsid w:val="009F2D0C"/>
    <w:rsid w:val="00A748E9"/>
    <w:rsid w:val="00AE6AC4"/>
    <w:rsid w:val="00B41CAC"/>
    <w:rsid w:val="00B92F38"/>
    <w:rsid w:val="00C330C4"/>
    <w:rsid w:val="00C461D3"/>
    <w:rsid w:val="00CD1D7A"/>
    <w:rsid w:val="00E96821"/>
    <w:rsid w:val="00EA4831"/>
    <w:rsid w:val="00EC6688"/>
    <w:rsid w:val="00F3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2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Resat</dc:creator>
  <cp:lastModifiedBy>ben</cp:lastModifiedBy>
  <cp:revision>2</cp:revision>
  <dcterms:created xsi:type="dcterms:W3CDTF">2015-12-04T11:15:00Z</dcterms:created>
  <dcterms:modified xsi:type="dcterms:W3CDTF">2015-12-04T11:15:00Z</dcterms:modified>
</cp:coreProperties>
</file>